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spacing w:after="0"/>
        <w:jc w:val="center"/>
        <w:rPr>
          <w:rFonts w:ascii="Helvetica Neue" w:cs="Helvetica Neue" w:hAnsi="Helvetica Neue" w:eastAsia="Helvetica Neue"/>
          <w:b w:val="1"/>
          <w:bCs w:val="1"/>
          <w:i w:val="1"/>
          <w:iCs w:val="1"/>
          <w:sz w:val="24"/>
          <w:szCs w:val="24"/>
        </w:rPr>
      </w:pPr>
      <w:r>
        <w:rPr>
          <w:rFonts w:ascii="Helvetica Neue" w:hAnsi="Helvetica Neue"/>
          <w:b w:val="1"/>
          <w:bCs w:val="1"/>
          <w:i w:val="1"/>
          <w:iCs w:val="1"/>
          <w:sz w:val="24"/>
          <w:szCs w:val="24"/>
          <w:rtl w:val="0"/>
          <w:lang w:val="it-IT"/>
        </w:rPr>
        <w:t>VERBALE RIUNIONE COMMISSIONE LL.PP.</w:t>
      </w:r>
    </w:p>
    <w:p>
      <w:pPr>
        <w:pStyle w:val="Normale"/>
        <w:spacing w:after="0"/>
        <w:jc w:val="center"/>
        <w:rPr>
          <w:rFonts w:ascii="Helvetica Neue" w:cs="Helvetica Neue" w:hAnsi="Helvetica Neue" w:eastAsia="Helvetica Neue"/>
          <w:b w:val="1"/>
          <w:bCs w:val="1"/>
          <w:i w:val="1"/>
          <w:iCs w:val="1"/>
          <w:sz w:val="20"/>
          <w:szCs w:val="20"/>
        </w:rPr>
      </w:pPr>
      <w:r>
        <w:rPr>
          <w:rFonts w:ascii="Helvetica Neue" w:hAnsi="Helvetica Neue"/>
          <w:b w:val="1"/>
          <w:bCs w:val="1"/>
          <w:i w:val="1"/>
          <w:iCs w:val="1"/>
          <w:sz w:val="20"/>
          <w:szCs w:val="20"/>
          <w:rtl w:val="0"/>
          <w:lang w:val="it-IT"/>
        </w:rPr>
        <w:t>ORDINE DEGLI INGEGNERI DI FIRENZE</w:t>
      </w:r>
    </w:p>
    <w:p>
      <w:pPr>
        <w:pStyle w:val="Normale"/>
        <w:spacing w:line="360" w:lineRule="auto"/>
        <w:jc w:val="right"/>
        <w:rPr>
          <w:rFonts w:ascii="Helvetica Neue" w:cs="Helvetica Neue" w:hAnsi="Helvetica Neue" w:eastAsia="Helvetica Neue"/>
        </w:rPr>
      </w:pPr>
    </w:p>
    <w:p>
      <w:pPr>
        <w:pStyle w:val="Normale"/>
        <w:spacing w:after="0" w:line="480" w:lineRule="auto"/>
        <w:jc w:val="both"/>
      </w:pPr>
      <w:r>
        <w:rPr>
          <w:rtl w:val="0"/>
          <w:lang w:val="it-IT"/>
        </w:rPr>
        <w:t xml:space="preserve">Data: </w:t>
      </w:r>
      <w:r>
        <w:rPr>
          <w:rtl w:val="0"/>
          <w:lang w:val="it-IT"/>
        </w:rPr>
        <w:t>06</w:t>
      </w:r>
      <w:r>
        <w:rPr>
          <w:rtl w:val="0"/>
          <w:lang w:val="it-IT"/>
        </w:rPr>
        <w:t>.0</w:t>
      </w:r>
      <w:r>
        <w:rPr>
          <w:rtl w:val="0"/>
          <w:lang w:val="it-IT"/>
        </w:rPr>
        <w:t>6</w:t>
      </w:r>
      <w:r>
        <w:rPr>
          <w:rtl w:val="0"/>
          <w:lang w:val="it-IT"/>
        </w:rPr>
        <w:t>.2019- ore 18,00</w:t>
      </w:r>
    </w:p>
    <w:p>
      <w:pPr>
        <w:pStyle w:val="Normale"/>
        <w:spacing w:after="0" w:line="480" w:lineRule="auto"/>
        <w:jc w:val="both"/>
        <w:rPr>
          <w:rFonts w:ascii="Arial" w:cs="Arial" w:hAnsi="Arial" w:eastAsia="Arial"/>
        </w:rPr>
      </w:pPr>
    </w:p>
    <w:p>
      <w:pPr>
        <w:pStyle w:val="Normale"/>
        <w:spacing w:after="0" w:line="480" w:lineRule="auto"/>
        <w:jc w:val="both"/>
      </w:pPr>
      <w:r>
        <w:rPr>
          <w:rtl w:val="0"/>
          <w:lang w:val="it-IT"/>
        </w:rPr>
        <w:t>N</w:t>
      </w:r>
      <w:r>
        <w:rPr>
          <w:rtl w:val="0"/>
          <w:lang w:val="it-IT"/>
        </w:rPr>
        <w:t xml:space="preserve">° </w:t>
      </w:r>
      <w:r>
        <w:rPr>
          <w:rtl w:val="0"/>
          <w:lang w:val="it-IT"/>
        </w:rPr>
        <w:t xml:space="preserve">riunione: </w:t>
      </w:r>
      <w:r>
        <w:rPr>
          <w:rtl w:val="0"/>
          <w:lang w:val="it-IT"/>
        </w:rPr>
        <w:t>2</w:t>
      </w:r>
      <w:r>
        <w:rPr>
          <w:rtl w:val="0"/>
          <w:lang w:val="it-IT"/>
        </w:rPr>
        <w:t xml:space="preserve">/2019 </w:t>
      </w:r>
    </w:p>
    <w:p>
      <w:pPr>
        <w:pStyle w:val="Normale"/>
        <w:spacing w:after="0" w:line="480" w:lineRule="auto"/>
        <w:jc w:val="both"/>
        <w:rPr>
          <w:rFonts w:ascii="Arial" w:cs="Arial" w:hAnsi="Arial" w:eastAsia="Arial"/>
        </w:rPr>
      </w:pPr>
    </w:p>
    <w:p>
      <w:pPr>
        <w:pStyle w:val="Normale"/>
        <w:spacing w:after="0" w:line="480" w:lineRule="auto"/>
        <w:jc w:val="both"/>
      </w:pPr>
      <w:r>
        <w:rPr>
          <w:rtl w:val="0"/>
          <w:lang w:val="it-IT"/>
        </w:rPr>
        <w:t xml:space="preserve">Presenti: Antonio Aiello ( coordinatore), Paolo Del Soldato , Andrea Gonnelli , Massimo Taddei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480" w:lineRule="auto"/>
        <w:rPr>
          <w:rFonts w:ascii="Arial" w:cs="Arial" w:hAnsi="Arial" w:eastAsia="Aria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480" w:lineRule="auto"/>
        <w:rPr>
          <w:rFonts w:ascii="Arial" w:cs="Arial" w:hAnsi="Arial" w:eastAsia="Arial"/>
        </w:rPr>
      </w:pPr>
      <w:r>
        <w:rPr>
          <w:rFonts w:ascii="Arial" w:hAnsi="Arial"/>
          <w:rtl w:val="0"/>
          <w:lang w:val="it-IT"/>
        </w:rPr>
        <w:t xml:space="preserve">Ordine del Giorno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480" w:lineRule="auto"/>
        <w:rPr>
          <w:rFonts w:ascii="Arial" w:cs="Arial" w:hAnsi="Arial" w:eastAsia="Arial"/>
          <w:lang w:val="it-IT"/>
        </w:rPr>
      </w:pPr>
      <w:r>
        <w:rPr>
          <w:rFonts w:ascii="Arial" w:hAnsi="Arial"/>
          <w:rtl w:val="0"/>
          <w:lang w:val="it-IT"/>
        </w:rPr>
        <w:t xml:space="preserve">1- decreto  </w:t>
      </w:r>
      <w:r>
        <w:rPr>
          <w:rFonts w:ascii="Arial" w:hAnsi="Arial" w:hint="default"/>
          <w:rtl w:val="0"/>
          <w:lang w:val="it-IT"/>
        </w:rPr>
        <w:t>“</w:t>
      </w:r>
      <w:r>
        <w:rPr>
          <w:rFonts w:ascii="Arial" w:hAnsi="Arial"/>
          <w:rtl w:val="0"/>
          <w:lang w:val="it-IT"/>
        </w:rPr>
        <w:t xml:space="preserve">sbocca cantieri </w:t>
      </w:r>
      <w:r>
        <w:rPr>
          <w:rFonts w:ascii="Arial" w:hAnsi="Arial" w:hint="default"/>
          <w:rtl w:val="0"/>
          <w:lang w:val="it-IT"/>
        </w:rPr>
        <w:t xml:space="preserve">“ </w:t>
      </w:r>
      <w:r>
        <w:rPr>
          <w:rFonts w:ascii="Arial" w:hAnsi="Arial"/>
          <w:rtl w:val="0"/>
          <w:lang w:val="it-IT"/>
        </w:rPr>
        <w:t>D.L. 32/2019</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480" w:lineRule="auto"/>
        <w:rPr>
          <w:rFonts w:ascii="Arial" w:cs="Arial" w:hAnsi="Arial" w:eastAsia="Arial"/>
          <w:lang w:val="it-IT"/>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480" w:lineRule="auto"/>
        <w:rPr>
          <w:rFonts w:ascii="Arial" w:cs="Arial" w:hAnsi="Arial" w:eastAsia="Arial"/>
          <w:lang w:val="it-IT"/>
        </w:rPr>
      </w:pPr>
      <w:r>
        <w:rPr>
          <w:rFonts w:ascii="Arial" w:hAnsi="Arial"/>
          <w:rtl w:val="0"/>
          <w:lang w:val="it-IT"/>
        </w:rPr>
        <w:t xml:space="preserve">Il coordinatore comunica che per il  28 giugno </w:t>
      </w:r>
      <w:r>
        <w:rPr>
          <w:rFonts w:ascii="Arial" w:hAnsi="Arial" w:hint="default"/>
          <w:rtl w:val="0"/>
          <w:lang w:val="it-IT"/>
        </w:rPr>
        <w:t xml:space="preserve">è </w:t>
      </w:r>
      <w:r>
        <w:rPr>
          <w:rFonts w:ascii="Arial" w:hAnsi="Arial"/>
          <w:rtl w:val="0"/>
          <w:lang w:val="it-IT"/>
        </w:rPr>
        <w:t xml:space="preserve">stato organizzato il seminario sul codice dei contratti e sbocca cantieri, per il quale verranno riconosciuti CFP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480" w:lineRule="auto"/>
        <w:rPr>
          <w:rFonts w:ascii="Arial" w:cs="Arial" w:hAnsi="Arial" w:eastAsia="Arial"/>
          <w:lang w:val="it-IT"/>
        </w:rPr>
      </w:pPr>
      <w:r>
        <w:rPr>
          <w:rFonts w:ascii="Arial" w:hAnsi="Arial"/>
          <w:rtl w:val="0"/>
          <w:lang w:val="it-IT"/>
        </w:rPr>
        <w:t>Il D.L. di prossima conversione contiene importanti modifiche al codice degli appalti; in particolare la sospensione di alcuni articoli quali</w:t>
      </w:r>
    </w:p>
    <w:p>
      <w:pPr>
        <w:pStyle w:val="Di default"/>
        <w:numPr>
          <w:ilvl w:val="0"/>
          <w:numId w:val="2"/>
        </w:numPr>
        <w:spacing w:line="480" w:lineRule="auto"/>
        <w:rPr>
          <w:rFonts w:ascii="Helvetica" w:hAnsi="Helvetica"/>
          <w:outline w:val="0"/>
          <w:color w:val="333333"/>
          <w:shd w:val="clear" w:color="auto" w:fill="ffffff"/>
          <w:lang w:val="it-IT"/>
          <w14:textFill>
            <w14:solidFill>
              <w14:srgbClr w14:val="333333"/>
            </w14:solidFill>
          </w14:textFill>
        </w:rPr>
      </w:pPr>
      <w:r>
        <w:rPr>
          <w:rFonts w:ascii="Helvetica" w:hAnsi="Helvetica"/>
          <w:outline w:val="0"/>
          <w:color w:val="333333"/>
          <w:shd w:val="clear" w:color="auto" w:fill="ffffff"/>
          <w:rtl w:val="0"/>
          <w:lang w:val="it-IT"/>
          <w14:textFill>
            <w14:solidFill>
              <w14:srgbClr w14:val="333333"/>
            </w14:solidFill>
          </w14:textFill>
        </w:rPr>
        <w:t xml:space="preserve">obbligo di utilizzo della </w:t>
      </w:r>
      <w:r>
        <w:rPr>
          <w:rFonts w:ascii="Helvetica" w:hAnsi="Helvetica"/>
          <w:b w:val="1"/>
          <w:bCs w:val="1"/>
          <w:outline w:val="0"/>
          <w:color w:val="1f1f1f"/>
          <w:shd w:val="clear" w:color="auto" w:fill="ffffff"/>
          <w:rtl w:val="0"/>
          <w:lang w:val="it-IT"/>
          <w14:textFill>
            <w14:solidFill>
              <w14:srgbClr w14:val="1F1F1F"/>
            </w14:solidFill>
          </w14:textFill>
        </w:rPr>
        <w:t>centrale di committenza</w:t>
      </w:r>
      <w:r>
        <w:rPr>
          <w:rFonts w:ascii="Helvetica" w:hAnsi="Helvetica"/>
          <w:outline w:val="0"/>
          <w:color w:val="333333"/>
          <w:shd w:val="clear" w:color="auto" w:fill="ffffff"/>
          <w:rtl w:val="0"/>
          <w:lang w:val="it-IT"/>
          <w14:textFill>
            <w14:solidFill>
              <w14:srgbClr w14:val="333333"/>
            </w14:solidFill>
          </w14:textFill>
        </w:rPr>
        <w:t>/stazione unica appaltante</w:t>
      </w:r>
      <w:r>
        <w:rPr>
          <w:rFonts w:ascii="Helvetica" w:hAnsi="Helvetica" w:hint="default"/>
          <w:outline w:val="0"/>
          <w:color w:val="333333"/>
          <w:shd w:val="clear" w:color="auto" w:fill="ffffff"/>
          <w:rtl w:val="0"/>
          <w:lang w:val="it-IT"/>
          <w14:textFill>
            <w14:solidFill>
              <w14:srgbClr w14:val="333333"/>
            </w14:solidFill>
          </w14:textFill>
        </w:rPr>
        <w:t> </w:t>
      </w:r>
      <w:r>
        <w:rPr>
          <w:rFonts w:ascii="Helvetica" w:hAnsi="Helvetica"/>
          <w:outline w:val="0"/>
          <w:color w:val="333333"/>
          <w:shd w:val="clear" w:color="auto" w:fill="ffffff"/>
          <w:rtl w:val="0"/>
          <w:lang w:val="it-IT"/>
          <w14:textFill>
            <w14:solidFill>
              <w14:srgbClr w14:val="333333"/>
            </w14:solidFill>
          </w14:textFill>
        </w:rPr>
        <w:t>per i Comuni non capoluogo di provincia, di cui all</w:t>
      </w:r>
      <w:r>
        <w:rPr>
          <w:rFonts w:ascii="Helvetica" w:hAnsi="Helvetica" w:hint="default"/>
          <w:outline w:val="0"/>
          <w:color w:val="333333"/>
          <w:shd w:val="clear" w:color="auto" w:fill="ffffff"/>
          <w:rtl w:val="0"/>
          <w:lang w:val="it-IT"/>
          <w14:textFill>
            <w14:solidFill>
              <w14:srgbClr w14:val="333333"/>
            </w14:solidFill>
          </w14:textFill>
        </w:rPr>
        <w:t>’</w:t>
      </w:r>
      <w:r>
        <w:rPr>
          <w:rFonts w:ascii="Helvetica" w:hAnsi="Helvetica"/>
          <w:outline w:val="0"/>
          <w:color w:val="333333"/>
          <w:shd w:val="clear" w:color="auto" w:fill="ffffff"/>
          <w:rtl w:val="0"/>
          <w:lang w:val="it-IT"/>
          <w14:textFill>
            <w14:solidFill>
              <w14:srgbClr w14:val="333333"/>
            </w14:solidFill>
          </w14:textFill>
        </w:rPr>
        <w:t>art. 37, comma 4, del dlgs</w:t>
      </w:r>
      <w:r>
        <w:rPr>
          <w:rFonts w:ascii="Helvetica" w:hAnsi="Helvetica" w:hint="default"/>
          <w:outline w:val="0"/>
          <w:color w:val="333333"/>
          <w:shd w:val="clear" w:color="auto" w:fill="ffffff"/>
          <w:rtl w:val="0"/>
          <w:lang w:val="it-IT"/>
          <w14:textFill>
            <w14:solidFill>
              <w14:srgbClr w14:val="333333"/>
            </w14:solidFill>
          </w14:textFill>
        </w:rPr>
        <w:t> </w:t>
      </w:r>
      <w:r>
        <w:rPr>
          <w:rFonts w:ascii="Helvetica" w:hAnsi="Helvetica"/>
          <w:outline w:val="0"/>
          <w:color w:val="333333"/>
          <w:shd w:val="clear" w:color="auto" w:fill="ffffff"/>
          <w:rtl w:val="0"/>
          <w:lang w:val="it-IT"/>
          <w14:textFill>
            <w14:solidFill>
              <w14:srgbClr w14:val="333333"/>
            </w14:solidFill>
          </w14:textFill>
        </w:rPr>
        <w:t>n. 50/2016</w:t>
      </w:r>
    </w:p>
    <w:p>
      <w:pPr>
        <w:pStyle w:val="Di default"/>
        <w:numPr>
          <w:ilvl w:val="0"/>
          <w:numId w:val="2"/>
        </w:numPr>
        <w:spacing w:line="480" w:lineRule="auto"/>
        <w:rPr>
          <w:rFonts w:ascii="Helvetica" w:hAnsi="Helvetica"/>
          <w:outline w:val="0"/>
          <w:color w:val="333333"/>
          <w:shd w:val="clear" w:color="auto" w:fill="ffffff"/>
          <w:lang w:val="it-IT"/>
          <w14:textFill>
            <w14:solidFill>
              <w14:srgbClr w14:val="333333"/>
            </w14:solidFill>
          </w14:textFill>
        </w:rPr>
      </w:pPr>
      <w:r>
        <w:rPr>
          <w:rFonts w:ascii="Helvetica" w:hAnsi="Helvetica"/>
          <w:outline w:val="0"/>
          <w:color w:val="333333"/>
          <w:shd w:val="clear" w:color="auto" w:fill="ffffff"/>
          <w:rtl w:val="0"/>
          <w:lang w:val="it-IT"/>
          <w14:textFill>
            <w14:solidFill>
              <w14:srgbClr w14:val="333333"/>
            </w14:solidFill>
          </w14:textFill>
        </w:rPr>
        <w:t>divieto di affidamento congiunto della progettazione e dell</w:t>
      </w:r>
      <w:r>
        <w:rPr>
          <w:rFonts w:ascii="Helvetica" w:hAnsi="Helvetica" w:hint="default"/>
          <w:outline w:val="0"/>
          <w:color w:val="333333"/>
          <w:shd w:val="clear" w:color="auto" w:fill="ffffff"/>
          <w:rtl w:val="0"/>
          <w:lang w:val="it-IT"/>
          <w14:textFill>
            <w14:solidFill>
              <w14:srgbClr w14:val="333333"/>
            </w14:solidFill>
          </w14:textFill>
        </w:rPr>
        <w:t>’</w:t>
      </w:r>
      <w:r>
        <w:rPr>
          <w:rFonts w:ascii="Helvetica" w:hAnsi="Helvetica"/>
          <w:outline w:val="0"/>
          <w:color w:val="333333"/>
          <w:shd w:val="clear" w:color="auto" w:fill="ffffff"/>
          <w:rtl w:val="0"/>
          <w:lang w:val="it-IT"/>
          <w14:textFill>
            <w14:solidFill>
              <w14:srgbClr w14:val="333333"/>
            </w14:solidFill>
          </w14:textFill>
        </w:rPr>
        <w:t>esecuzione</w:t>
      </w:r>
      <w:r>
        <w:rPr>
          <w:rFonts w:ascii="Helvetica" w:hAnsi="Helvetica"/>
          <w:b w:val="1"/>
          <w:bCs w:val="1"/>
          <w:outline w:val="0"/>
          <w:color w:val="1f1f1f"/>
          <w:shd w:val="clear" w:color="auto" w:fill="ffffff"/>
          <w:rtl w:val="0"/>
          <w:lang w:val="it-IT"/>
          <w14:textFill>
            <w14:solidFill>
              <w14:srgbClr w14:val="1F1F1F"/>
            </w14:solidFill>
          </w14:textFill>
        </w:rPr>
        <w:t xml:space="preserve"> (appalto integrato)</w:t>
      </w:r>
      <w:r>
        <w:rPr>
          <w:rFonts w:ascii="Helvetica" w:hAnsi="Helvetica"/>
          <w:outline w:val="0"/>
          <w:color w:val="333333"/>
          <w:shd w:val="clear" w:color="auto" w:fill="ffffff"/>
          <w:rtl w:val="0"/>
          <w:lang w:val="it-IT"/>
          <w14:textFill>
            <w14:solidFill>
              <w14:srgbClr w14:val="333333"/>
            </w14:solidFill>
          </w14:textFill>
        </w:rPr>
        <w:t>,</w:t>
      </w:r>
      <w:r>
        <w:rPr>
          <w:rFonts w:ascii="Helvetica" w:hAnsi="Helvetica" w:hint="default"/>
          <w:b w:val="1"/>
          <w:bCs w:val="1"/>
          <w:outline w:val="0"/>
          <w:color w:val="1f1f1f"/>
          <w:shd w:val="clear" w:color="auto" w:fill="ffffff"/>
          <w:rtl w:val="0"/>
          <w:lang w:val="it-IT"/>
          <w14:textFill>
            <w14:solidFill>
              <w14:srgbClr w14:val="1F1F1F"/>
            </w14:solidFill>
          </w14:textFill>
        </w:rPr>
        <w:t> </w:t>
      </w:r>
      <w:r>
        <w:rPr>
          <w:rFonts w:ascii="Helvetica" w:hAnsi="Helvetica"/>
          <w:outline w:val="0"/>
          <w:color w:val="333333"/>
          <w:shd w:val="clear" w:color="auto" w:fill="ffffff"/>
          <w:rtl w:val="0"/>
          <w:lang w:val="it-IT"/>
          <w14:textFill>
            <w14:solidFill>
              <w14:srgbClr w14:val="333333"/>
            </w14:solidFill>
          </w14:textFill>
        </w:rPr>
        <w:t>di cui all</w:t>
      </w:r>
      <w:r>
        <w:rPr>
          <w:rFonts w:ascii="Helvetica" w:hAnsi="Helvetica" w:hint="default"/>
          <w:outline w:val="0"/>
          <w:color w:val="333333"/>
          <w:shd w:val="clear" w:color="auto" w:fill="ffffff"/>
          <w:rtl w:val="0"/>
          <w:lang w:val="it-IT"/>
          <w14:textFill>
            <w14:solidFill>
              <w14:srgbClr w14:val="333333"/>
            </w14:solidFill>
          </w14:textFill>
        </w:rPr>
        <w:t>’</w:t>
      </w:r>
      <w:r>
        <w:rPr>
          <w:rFonts w:ascii="Helvetica" w:hAnsi="Helvetica"/>
          <w:outline w:val="0"/>
          <w:color w:val="333333"/>
          <w:shd w:val="clear" w:color="auto" w:fill="ffffff"/>
          <w:rtl w:val="0"/>
          <w:lang w:val="it-IT"/>
          <w14:textFill>
            <w14:solidFill>
              <w14:srgbClr w14:val="333333"/>
            </w14:solidFill>
          </w14:textFill>
        </w:rPr>
        <w:t>art. 59, comma</w:t>
      </w:r>
      <w:r>
        <w:rPr>
          <w:rFonts w:ascii="Helvetica" w:hAnsi="Helvetica" w:hint="default"/>
          <w:outline w:val="0"/>
          <w:color w:val="333333"/>
          <w:shd w:val="clear" w:color="auto" w:fill="ffffff"/>
          <w:rtl w:val="0"/>
          <w:lang w:val="it-IT"/>
          <w14:textFill>
            <w14:solidFill>
              <w14:srgbClr w14:val="333333"/>
            </w14:solidFill>
          </w14:textFill>
        </w:rPr>
        <w:t> </w:t>
      </w:r>
      <w:r>
        <w:rPr>
          <w:rFonts w:ascii="Helvetica" w:hAnsi="Helvetica"/>
          <w:outline w:val="0"/>
          <w:color w:val="333333"/>
          <w:shd w:val="clear" w:color="auto" w:fill="ffffff"/>
          <w:rtl w:val="0"/>
          <w:lang w:val="it-IT"/>
          <w14:textFill>
            <w14:solidFill>
              <w14:srgbClr w14:val="333333"/>
            </w14:solidFill>
          </w14:textFill>
        </w:rPr>
        <w:t>1, quarto periodo, del dlgs</w:t>
      </w:r>
      <w:r>
        <w:rPr>
          <w:rFonts w:ascii="Helvetica" w:hAnsi="Helvetica" w:hint="default"/>
          <w:outline w:val="0"/>
          <w:color w:val="333333"/>
          <w:shd w:val="clear" w:color="auto" w:fill="ffffff"/>
          <w:rtl w:val="0"/>
          <w:lang w:val="it-IT"/>
          <w14:textFill>
            <w14:solidFill>
              <w14:srgbClr w14:val="333333"/>
            </w14:solidFill>
          </w14:textFill>
        </w:rPr>
        <w:t> </w:t>
      </w:r>
      <w:r>
        <w:rPr>
          <w:rFonts w:ascii="Helvetica" w:hAnsi="Helvetica"/>
          <w:outline w:val="0"/>
          <w:color w:val="333333"/>
          <w:shd w:val="clear" w:color="auto" w:fill="ffffff"/>
          <w:rtl w:val="0"/>
          <w:lang w:val="it-IT"/>
          <w14:textFill>
            <w14:solidFill>
              <w14:srgbClr w14:val="333333"/>
            </w14:solidFill>
          </w14:textFill>
        </w:rPr>
        <w:t>n. 50/2016</w:t>
      </w:r>
    </w:p>
    <w:p>
      <w:pPr>
        <w:pStyle w:val="Di default"/>
        <w:numPr>
          <w:ilvl w:val="0"/>
          <w:numId w:val="2"/>
        </w:numPr>
        <w:spacing w:line="480" w:lineRule="auto"/>
        <w:rPr>
          <w:rFonts w:ascii="Helvetica" w:hAnsi="Helvetica"/>
          <w:outline w:val="0"/>
          <w:color w:val="333333"/>
          <w:shd w:val="clear" w:color="auto" w:fill="ffffff"/>
          <w:lang w:val="it-IT"/>
          <w14:textFill>
            <w14:solidFill>
              <w14:srgbClr w14:val="333333"/>
            </w14:solidFill>
          </w14:textFill>
        </w:rPr>
      </w:pPr>
      <w:r>
        <w:rPr>
          <w:rFonts w:ascii="Helvetica" w:hAnsi="Helvetica"/>
          <w:outline w:val="0"/>
          <w:color w:val="333333"/>
          <w:shd w:val="clear" w:color="auto" w:fill="ffffff"/>
          <w:rtl w:val="0"/>
          <w:lang w:val="it-IT"/>
          <w14:textFill>
            <w14:solidFill>
              <w14:srgbClr w14:val="333333"/>
            </w14:solidFill>
          </w14:textFill>
        </w:rPr>
        <w:t>obbligo di utilizzo dell</w:t>
      </w:r>
      <w:r>
        <w:rPr>
          <w:rFonts w:ascii="Helvetica" w:hAnsi="Helvetica" w:hint="default"/>
          <w:outline w:val="0"/>
          <w:color w:val="333333"/>
          <w:shd w:val="clear" w:color="auto" w:fill="ffffff"/>
          <w:rtl w:val="0"/>
          <w:lang w:val="it-IT"/>
          <w14:textFill>
            <w14:solidFill>
              <w14:srgbClr w14:val="333333"/>
            </w14:solidFill>
          </w14:textFill>
        </w:rPr>
        <w:t>’</w:t>
      </w:r>
      <w:r>
        <w:rPr>
          <w:rFonts w:ascii="Helvetica" w:hAnsi="Helvetica"/>
          <w:b w:val="1"/>
          <w:bCs w:val="1"/>
          <w:outline w:val="0"/>
          <w:color w:val="1f1f1f"/>
          <w:shd w:val="clear" w:color="auto" w:fill="ffffff"/>
          <w:rtl w:val="0"/>
          <w:lang w:val="it-IT"/>
          <w14:textFill>
            <w14:solidFill>
              <w14:srgbClr w14:val="1F1F1F"/>
            </w14:solidFill>
          </w14:textFill>
        </w:rPr>
        <w:t>Albo dei commissari di gara</w:t>
      </w:r>
      <w:r>
        <w:rPr>
          <w:rFonts w:ascii="Helvetica" w:hAnsi="Helvetica"/>
          <w:outline w:val="0"/>
          <w:color w:val="333333"/>
          <w:shd w:val="clear" w:color="auto" w:fill="ffffff"/>
          <w:rtl w:val="0"/>
          <w:lang w:val="it-IT"/>
          <w14:textFill>
            <w14:solidFill>
              <w14:srgbClr w14:val="333333"/>
            </w14:solidFill>
          </w14:textFill>
        </w:rPr>
        <w:t>, di cui all</w:t>
      </w:r>
      <w:r>
        <w:rPr>
          <w:rFonts w:ascii="Helvetica" w:hAnsi="Helvetica" w:hint="default"/>
          <w:outline w:val="0"/>
          <w:color w:val="333333"/>
          <w:shd w:val="clear" w:color="auto" w:fill="ffffff"/>
          <w:rtl w:val="0"/>
          <w:lang w:val="it-IT"/>
          <w14:textFill>
            <w14:solidFill>
              <w14:srgbClr w14:val="333333"/>
            </w14:solidFill>
          </w14:textFill>
        </w:rPr>
        <w:t>’</w:t>
      </w:r>
      <w:r>
        <w:rPr>
          <w:rFonts w:ascii="Helvetica" w:hAnsi="Helvetica"/>
          <w:outline w:val="0"/>
          <w:color w:val="333333"/>
          <w:shd w:val="clear" w:color="auto" w:fill="ffffff"/>
          <w:rtl w:val="0"/>
          <w:lang w:val="it-IT"/>
          <w14:textFill>
            <w14:solidFill>
              <w14:srgbClr w14:val="333333"/>
            </w14:solidFill>
          </w14:textFill>
        </w:rPr>
        <w:t>art. 77, comma 3, del dlgs</w:t>
      </w:r>
      <w:r>
        <w:rPr>
          <w:rFonts w:ascii="Helvetica" w:hAnsi="Helvetica" w:hint="default"/>
          <w:outline w:val="0"/>
          <w:color w:val="333333"/>
          <w:shd w:val="clear" w:color="auto" w:fill="ffffff"/>
          <w:rtl w:val="0"/>
          <w:lang w:val="it-IT"/>
          <w14:textFill>
            <w14:solidFill>
              <w14:srgbClr w14:val="333333"/>
            </w14:solidFill>
          </w14:textFill>
        </w:rPr>
        <w:t> </w:t>
      </w:r>
      <w:r>
        <w:rPr>
          <w:rFonts w:ascii="Helvetica" w:hAnsi="Helvetica"/>
          <w:outline w:val="0"/>
          <w:color w:val="333333"/>
          <w:shd w:val="clear" w:color="auto" w:fill="ffffff"/>
          <w:rtl w:val="0"/>
          <w:lang w:val="it-IT"/>
          <w14:textFill>
            <w14:solidFill>
              <w14:srgbClr w14:val="333333"/>
            </w14:solidFill>
          </w14:textFill>
        </w:rPr>
        <w:t>n. 50/2016;</w:t>
      </w:r>
    </w:p>
    <w:p>
      <w:pPr>
        <w:pStyle w:val="Di default"/>
        <w:numPr>
          <w:ilvl w:val="0"/>
          <w:numId w:val="2"/>
        </w:numPr>
        <w:spacing w:line="480" w:lineRule="auto"/>
        <w:rPr>
          <w:rFonts w:ascii="Helvetica" w:hAnsi="Helvetica"/>
          <w:outline w:val="0"/>
          <w:color w:val="333333"/>
          <w:shd w:val="clear" w:color="auto" w:fill="ffffff"/>
          <w:lang w:val="it-IT"/>
          <w14:textFill>
            <w14:solidFill>
              <w14:srgbClr w14:val="333333"/>
            </w14:solidFill>
          </w14:textFill>
        </w:rPr>
      </w:pPr>
      <w:r>
        <w:rPr>
          <w:rFonts w:ascii="Helvetica" w:hAnsi="Helvetica"/>
          <w:outline w:val="0"/>
          <w:color w:val="333333"/>
          <w:shd w:val="clear" w:color="auto" w:fill="ffffff"/>
          <w:rtl w:val="0"/>
          <w:lang w:val="it-IT"/>
          <w14:textFill>
            <w14:solidFill>
              <w14:srgbClr w14:val="333333"/>
            </w14:solidFill>
          </w14:textFill>
        </w:rPr>
        <w:t>il comma 6 dell</w:t>
      </w:r>
      <w:r>
        <w:rPr>
          <w:rFonts w:ascii="Helvetica" w:hAnsi="Helvetica" w:hint="default"/>
          <w:outline w:val="0"/>
          <w:color w:val="333333"/>
          <w:shd w:val="clear" w:color="auto" w:fill="ffffff"/>
          <w:rtl w:val="0"/>
          <w:lang w:val="it-IT"/>
          <w14:textFill>
            <w14:solidFill>
              <w14:srgbClr w14:val="333333"/>
            </w14:solidFill>
          </w14:textFill>
        </w:rPr>
        <w:t>’</w:t>
      </w:r>
      <w:r>
        <w:rPr>
          <w:rFonts w:ascii="Helvetica" w:hAnsi="Helvetica"/>
          <w:outline w:val="0"/>
          <w:color w:val="333333"/>
          <w:shd w:val="clear" w:color="auto" w:fill="ffffff"/>
          <w:rtl w:val="0"/>
          <w:lang w:val="it-IT"/>
          <w14:textFill>
            <w14:solidFill>
              <w14:srgbClr w14:val="333333"/>
            </w14:solidFill>
          </w14:textFill>
        </w:rPr>
        <w:t>art. 105 (indicazione della terna di sub appaltatori)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Helvetica" w:cs="Helvetica" w:hAnsi="Helvetica" w:eastAsia="Helvetica"/>
          <w:outline w:val="0"/>
          <w:color w:val="333333"/>
          <w:shd w:val="clear" w:color="auto" w:fill="ffffff"/>
          <w14:textFill>
            <w14:solidFill>
              <w14:srgbClr w14:val="333333"/>
            </w14:solidFill>
          </w14:textFill>
        </w:rPr>
      </w:pPr>
      <w:r>
        <w:rPr>
          <w:rFonts w:ascii="Helvetica" w:hAnsi="Helvetica"/>
          <w:outline w:val="0"/>
          <w:color w:val="333333"/>
          <w:shd w:val="clear" w:color="auto" w:fill="ffffff"/>
          <w:rtl w:val="0"/>
          <w:lang w:val="it-IT"/>
          <w14:textFill>
            <w14:solidFill>
              <w14:srgbClr w14:val="333333"/>
            </w14:solidFill>
          </w14:textFill>
        </w:rPr>
        <w:t>Viene inoltre aumentata la percentuale dei lavori subappaltabile, modificate le procedure per gli affidamento dei lavori sotto soglia ma sopratutto previsto un nuovo regolamento unico  in sostituzione delle linee guida ANAC e decreti attuativi.</w:t>
      </w:r>
    </w:p>
    <w:p>
      <w:pPr>
        <w:pStyle w:val="Normale"/>
        <w:spacing w:line="480" w:lineRule="auto"/>
        <w:jc w:val="both"/>
        <w:rPr>
          <w:rFonts w:ascii="Arial" w:cs="Arial" w:hAnsi="Arial" w:eastAsia="Arial"/>
        </w:rPr>
      </w:pPr>
      <w:r>
        <w:rPr>
          <w:rFonts w:ascii="Arial" w:hAnsi="Arial"/>
          <w:rtl w:val="0"/>
          <w:lang w:val="it-IT"/>
        </w:rPr>
        <w:t xml:space="preserve">I suddetti argomenti sono stati oggetto di discussione da parte dei membri della commissione </w:t>
      </w:r>
    </w:p>
    <w:p>
      <w:pPr>
        <w:pStyle w:val="Normale"/>
        <w:spacing w:line="480" w:lineRule="auto"/>
        <w:jc w:val="both"/>
      </w:pPr>
      <w:r>
        <w:rPr>
          <w:rFonts w:ascii="Arial" w:hAnsi="Arial"/>
          <w:rtl w:val="0"/>
          <w:lang w:val="it-IT"/>
        </w:rPr>
        <w:t>L</w:t>
      </w:r>
      <w:r>
        <w:rPr>
          <w:rFonts w:ascii="Arial" w:hAnsi="Arial" w:hint="default"/>
          <w:rtl w:val="0"/>
          <w:lang w:val="it-IT"/>
        </w:rPr>
        <w:t>’</w:t>
      </w:r>
      <w:r>
        <w:rPr>
          <w:rFonts w:ascii="Arial" w:hAnsi="Arial"/>
          <w:rtl w:val="0"/>
          <w:lang w:val="it-IT"/>
        </w:rPr>
        <w:t>incontro termina alle ore 19,00 .</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9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3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373" w:hanging="39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Punti elenco">
    <w:name w:val="Punti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